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D2" w:rsidRDefault="00FC23D2" w:rsidP="00FC23D2">
      <w:pPr>
        <w:spacing w:after="135" w:line="240" w:lineRule="auto"/>
        <w:outlineLvl w:val="1"/>
        <w:rPr>
          <w:rFonts w:ascii="inherit" w:eastAsia="Times New Roman" w:hAnsi="inherit" w:cs="Arial"/>
          <w:b/>
          <w:bCs/>
          <w:color w:val="222222"/>
          <w:sz w:val="36"/>
          <w:szCs w:val="36"/>
          <w:lang w:eastAsia="en-AU"/>
        </w:rPr>
      </w:pPr>
      <w:r>
        <w:rPr>
          <w:rFonts w:ascii="inherit" w:eastAsia="Times New Roman" w:hAnsi="inherit" w:cs="Arial"/>
          <w:b/>
          <w:bCs/>
          <w:color w:val="222222"/>
          <w:sz w:val="36"/>
          <w:szCs w:val="36"/>
          <w:lang w:eastAsia="en-AU"/>
        </w:rPr>
        <w:t>Standing Committee on Legislation - inquiry into the Mining Legislation Amendment Bill 2015</w:t>
      </w:r>
    </w:p>
    <w:p w:rsidR="001B2FFE" w:rsidRDefault="001B2FFE" w:rsidP="00287865">
      <w:pPr>
        <w:jc w:val="center"/>
        <w:rPr>
          <w:b/>
          <w:color w:val="000000" w:themeColor="text1"/>
          <w:sz w:val="32"/>
          <w:szCs w:val="32"/>
        </w:rPr>
      </w:pPr>
    </w:p>
    <w:p w:rsidR="00B250B4" w:rsidRPr="001B2FFE" w:rsidRDefault="001B2FFE" w:rsidP="00287865">
      <w:pPr>
        <w:jc w:val="center"/>
        <w:rPr>
          <w:b/>
          <w:color w:val="000000" w:themeColor="text1"/>
          <w:sz w:val="32"/>
          <w:szCs w:val="32"/>
        </w:rPr>
      </w:pPr>
      <w:r w:rsidRPr="001B2FFE">
        <w:rPr>
          <w:b/>
          <w:color w:val="000000" w:themeColor="text1"/>
          <w:sz w:val="32"/>
          <w:szCs w:val="32"/>
        </w:rPr>
        <w:t>SUBMISSION TITLE</w:t>
      </w:r>
    </w:p>
    <w:p w:rsidR="004778BB" w:rsidRPr="004778BB" w:rsidRDefault="004778BB" w:rsidP="004778BB">
      <w:pPr>
        <w:jc w:val="center"/>
        <w:rPr>
          <w:b/>
          <w:color w:val="0000FF"/>
          <w:sz w:val="32"/>
          <w:szCs w:val="32"/>
        </w:rPr>
      </w:pPr>
      <w:r w:rsidRPr="004778BB">
        <w:rPr>
          <w:b/>
          <w:color w:val="0000FF"/>
          <w:sz w:val="32"/>
          <w:szCs w:val="32"/>
        </w:rPr>
        <w:t xml:space="preserve">COSTLY LEGISLATIVE SOLUTIONS TO NON-EXISTANT ENVIRONMENTAL PROBLEMS </w:t>
      </w:r>
    </w:p>
    <w:p w:rsidR="00F35879" w:rsidRDefault="00F35879" w:rsidP="00287865">
      <w:pPr>
        <w:rPr>
          <w:rFonts w:ascii="Arial" w:hAnsi="Arial" w:cs="Arial"/>
          <w:b/>
          <w:sz w:val="20"/>
          <w:szCs w:val="20"/>
        </w:rPr>
      </w:pPr>
    </w:p>
    <w:p w:rsidR="00ED0A2B" w:rsidRDefault="00FC23D2" w:rsidP="00287865">
      <w:pPr>
        <w:rPr>
          <w:rFonts w:ascii="Arial" w:hAnsi="Arial" w:cs="Arial"/>
          <w:b/>
          <w:sz w:val="20"/>
          <w:szCs w:val="20"/>
        </w:rPr>
      </w:pPr>
      <w:r>
        <w:rPr>
          <w:rFonts w:ascii="Arial" w:hAnsi="Arial" w:cs="Arial"/>
          <w:b/>
          <w:sz w:val="20"/>
          <w:szCs w:val="20"/>
        </w:rPr>
        <w:t xml:space="preserve">Submission by </w:t>
      </w:r>
    </w:p>
    <w:p w:rsidR="00ED0A2B" w:rsidRDefault="0034055F" w:rsidP="00287865">
      <w:pPr>
        <w:rPr>
          <w:rFonts w:ascii="Arial" w:hAnsi="Arial" w:cs="Arial"/>
          <w:sz w:val="20"/>
          <w:szCs w:val="20"/>
        </w:rPr>
      </w:pPr>
      <w:r w:rsidRPr="0034055F">
        <w:rPr>
          <w:rFonts w:ascii="Arial" w:hAnsi="Arial" w:cs="Arial"/>
          <w:b/>
          <w:color w:val="0000FF"/>
          <w:sz w:val="20"/>
          <w:szCs w:val="20"/>
        </w:rPr>
        <w:t xml:space="preserve">Dr Robert Keith </w:t>
      </w:r>
      <w:r w:rsidR="00287865" w:rsidRPr="0034055F">
        <w:rPr>
          <w:rFonts w:ascii="Arial" w:hAnsi="Arial" w:cs="Arial"/>
          <w:b/>
          <w:color w:val="0000FF"/>
          <w:sz w:val="20"/>
          <w:szCs w:val="20"/>
        </w:rPr>
        <w:t>Fagan</w:t>
      </w:r>
      <w:r w:rsidR="00287865" w:rsidRPr="00D03C6D">
        <w:rPr>
          <w:rFonts w:ascii="Arial" w:hAnsi="Arial" w:cs="Arial"/>
          <w:b/>
          <w:sz w:val="20"/>
          <w:szCs w:val="20"/>
        </w:rPr>
        <w:t xml:space="preserve">: </w:t>
      </w:r>
      <w:r w:rsidR="00287865" w:rsidRPr="00D03C6D">
        <w:rPr>
          <w:rFonts w:ascii="Arial" w:hAnsi="Arial" w:cs="Arial"/>
          <w:sz w:val="20"/>
          <w:szCs w:val="20"/>
        </w:rPr>
        <w:t xml:space="preserve"> </w:t>
      </w:r>
    </w:p>
    <w:p w:rsidR="00287865" w:rsidRPr="00ED0A2B" w:rsidRDefault="00ED0A2B" w:rsidP="00287865">
      <w:pPr>
        <w:rPr>
          <w:rFonts w:ascii="Arial" w:hAnsi="Arial" w:cs="Arial"/>
          <w:b/>
          <w:color w:val="0000FF"/>
          <w:sz w:val="20"/>
          <w:szCs w:val="20"/>
        </w:rPr>
      </w:pPr>
      <w:r w:rsidRPr="00ED0A2B">
        <w:rPr>
          <w:rFonts w:ascii="Arial" w:hAnsi="Arial" w:cs="Arial"/>
          <w:b/>
          <w:color w:val="0000FF"/>
          <w:sz w:val="20"/>
          <w:szCs w:val="20"/>
        </w:rPr>
        <w:t xml:space="preserve">5 </w:t>
      </w:r>
      <w:proofErr w:type="spellStart"/>
      <w:r w:rsidRPr="00ED0A2B">
        <w:rPr>
          <w:rFonts w:ascii="Arial" w:hAnsi="Arial" w:cs="Arial"/>
          <w:b/>
          <w:color w:val="0000FF"/>
          <w:sz w:val="20"/>
          <w:szCs w:val="20"/>
        </w:rPr>
        <w:t>Allsop</w:t>
      </w:r>
      <w:proofErr w:type="spellEnd"/>
      <w:r w:rsidRPr="00ED0A2B">
        <w:rPr>
          <w:rFonts w:ascii="Arial" w:hAnsi="Arial" w:cs="Arial"/>
          <w:b/>
          <w:color w:val="0000FF"/>
          <w:sz w:val="20"/>
          <w:szCs w:val="20"/>
        </w:rPr>
        <w:t xml:space="preserve"> Close Kalgoorlie, W.A. 6430</w:t>
      </w:r>
    </w:p>
    <w:p w:rsidR="00ED0A2B" w:rsidRPr="00ED0A2B" w:rsidRDefault="00ED0A2B" w:rsidP="00287865">
      <w:pPr>
        <w:rPr>
          <w:rFonts w:ascii="Arial" w:hAnsi="Arial" w:cs="Arial"/>
          <w:b/>
          <w:color w:val="0000FF"/>
          <w:sz w:val="20"/>
          <w:szCs w:val="20"/>
        </w:rPr>
      </w:pPr>
      <w:r w:rsidRPr="00ED0A2B">
        <w:rPr>
          <w:rFonts w:ascii="Arial" w:hAnsi="Arial" w:cs="Arial"/>
          <w:color w:val="0000FF"/>
          <w:sz w:val="20"/>
          <w:szCs w:val="20"/>
        </w:rPr>
        <w:t>Mob:</w:t>
      </w:r>
      <w:r w:rsidRPr="00ED0A2B">
        <w:rPr>
          <w:rFonts w:ascii="Arial" w:hAnsi="Arial" w:cs="Arial"/>
          <w:b/>
          <w:color w:val="0000FF"/>
          <w:sz w:val="20"/>
          <w:szCs w:val="20"/>
        </w:rPr>
        <w:t xml:space="preserve"> 0458532360</w:t>
      </w:r>
    </w:p>
    <w:p w:rsidR="00ED0A2B" w:rsidRDefault="00ED0A2B" w:rsidP="00287865">
      <w:pPr>
        <w:rPr>
          <w:rFonts w:ascii="Arial" w:hAnsi="Arial" w:cs="Arial"/>
          <w:sz w:val="20"/>
          <w:szCs w:val="20"/>
        </w:rPr>
      </w:pPr>
      <w:r w:rsidRPr="00ED0A2B">
        <w:rPr>
          <w:rFonts w:ascii="Arial" w:hAnsi="Arial" w:cs="Arial"/>
          <w:b/>
          <w:sz w:val="20"/>
          <w:szCs w:val="20"/>
        </w:rPr>
        <w:t>Email</w:t>
      </w:r>
      <w:r>
        <w:rPr>
          <w:rFonts w:ascii="Arial" w:hAnsi="Arial" w:cs="Arial"/>
          <w:sz w:val="20"/>
          <w:szCs w:val="20"/>
        </w:rPr>
        <w:t xml:space="preserve">: </w:t>
      </w:r>
      <w:hyperlink r:id="rId6" w:history="1">
        <w:r w:rsidRPr="007E01D0">
          <w:rPr>
            <w:rStyle w:val="Hyperlink"/>
            <w:rFonts w:ascii="Arial" w:hAnsi="Arial" w:cs="Arial"/>
            <w:sz w:val="20"/>
            <w:szCs w:val="20"/>
          </w:rPr>
          <w:t>robertfagan345@gmail.com</w:t>
        </w:r>
      </w:hyperlink>
      <w:r>
        <w:rPr>
          <w:rFonts w:ascii="Arial" w:hAnsi="Arial" w:cs="Arial"/>
          <w:sz w:val="20"/>
          <w:szCs w:val="20"/>
        </w:rPr>
        <w:t xml:space="preserve"> </w:t>
      </w:r>
    </w:p>
    <w:p w:rsidR="00287865" w:rsidRPr="0034055F" w:rsidRDefault="00287865" w:rsidP="0034055F">
      <w:pPr>
        <w:rPr>
          <w:rFonts w:ascii="Arial" w:hAnsi="Arial" w:cs="Arial"/>
          <w:color w:val="0000FF"/>
          <w:sz w:val="20"/>
          <w:szCs w:val="20"/>
        </w:rPr>
      </w:pPr>
      <w:r w:rsidRPr="0034055F">
        <w:rPr>
          <w:rFonts w:ascii="Arial" w:hAnsi="Arial" w:cs="Arial"/>
          <w:color w:val="0000FF"/>
          <w:sz w:val="20"/>
          <w:szCs w:val="20"/>
        </w:rPr>
        <w:t xml:space="preserve">Dr Fagan is a retired geologist, former senior lecturer in exploration geology, geochemistry including environmental geochemistry at the Western Australian School of Mines until retirement in 2011. </w:t>
      </w:r>
      <w:proofErr w:type="gramStart"/>
      <w:r w:rsidRPr="0034055F">
        <w:rPr>
          <w:rFonts w:ascii="Arial" w:hAnsi="Arial" w:cs="Arial"/>
          <w:color w:val="0000FF"/>
          <w:sz w:val="20"/>
          <w:szCs w:val="20"/>
        </w:rPr>
        <w:t>An active and current prospector and tenement holder for the last 30 years in WA.</w:t>
      </w:r>
      <w:proofErr w:type="gramEnd"/>
      <w:r w:rsidRPr="0034055F">
        <w:rPr>
          <w:rFonts w:ascii="Arial" w:hAnsi="Arial" w:cs="Arial"/>
          <w:color w:val="0000FF"/>
          <w:sz w:val="20"/>
          <w:szCs w:val="20"/>
        </w:rPr>
        <w:t xml:space="preserve"> </w:t>
      </w:r>
      <w:proofErr w:type="gramStart"/>
      <w:r w:rsidRPr="0034055F">
        <w:rPr>
          <w:rFonts w:ascii="Arial" w:hAnsi="Arial" w:cs="Arial"/>
          <w:color w:val="0000FF"/>
          <w:sz w:val="20"/>
          <w:szCs w:val="20"/>
        </w:rPr>
        <w:t>An active member of the Amalgamated Prospectors &amp; Leaseholders Association (APLA) and on the APLA executive for most of the last 15 years, and a recent Vice President.</w:t>
      </w:r>
      <w:proofErr w:type="gramEnd"/>
      <w:r w:rsidRPr="0034055F">
        <w:rPr>
          <w:rFonts w:ascii="Arial" w:hAnsi="Arial" w:cs="Arial"/>
          <w:color w:val="0000FF"/>
          <w:sz w:val="20"/>
          <w:szCs w:val="20"/>
        </w:rPr>
        <w:t xml:space="preserve"> </w:t>
      </w:r>
      <w:proofErr w:type="gramStart"/>
      <w:r w:rsidRPr="0034055F">
        <w:rPr>
          <w:rFonts w:ascii="Arial" w:hAnsi="Arial" w:cs="Arial"/>
          <w:color w:val="0000FF"/>
          <w:sz w:val="20"/>
          <w:szCs w:val="20"/>
        </w:rPr>
        <w:t>Active member of the Goldfields First group of concerned prospectors and small business operators in the Goldfields.</w:t>
      </w:r>
      <w:proofErr w:type="gramEnd"/>
    </w:p>
    <w:p w:rsidR="00287865" w:rsidRDefault="00287865" w:rsidP="00287865">
      <w:pPr>
        <w:jc w:val="both"/>
        <w:rPr>
          <w:rFonts w:ascii="Arial" w:hAnsi="Arial" w:cs="Arial"/>
          <w:b/>
          <w:sz w:val="20"/>
          <w:szCs w:val="20"/>
          <w:u w:val="single"/>
        </w:rPr>
      </w:pPr>
      <w:r>
        <w:rPr>
          <w:rFonts w:ascii="Arial" w:hAnsi="Arial" w:cs="Arial"/>
          <w:b/>
          <w:sz w:val="20"/>
          <w:szCs w:val="20"/>
          <w:u w:val="single"/>
        </w:rPr>
        <w:t>General background to this submission</w:t>
      </w:r>
    </w:p>
    <w:p w:rsidR="00620235" w:rsidRPr="0034055F" w:rsidRDefault="00287865" w:rsidP="00287865">
      <w:pPr>
        <w:jc w:val="both"/>
        <w:rPr>
          <w:rFonts w:ascii="Arial" w:eastAsia="Arial" w:hAnsi="Arial" w:cs="Arial"/>
          <w:color w:val="0000FF"/>
          <w:sz w:val="20"/>
          <w:szCs w:val="20"/>
        </w:rPr>
      </w:pPr>
      <w:r w:rsidRPr="0034055F">
        <w:rPr>
          <w:rFonts w:ascii="Arial" w:hAnsi="Arial" w:cs="Arial"/>
          <w:color w:val="0000FF"/>
          <w:sz w:val="20"/>
          <w:szCs w:val="20"/>
        </w:rPr>
        <w:t xml:space="preserve">The purpose of this submission is to highlight the pointlessness of the Department of Mines and Resources (DMP), insistence of extending draconian environmental conditions </w:t>
      </w:r>
      <w:r w:rsidR="00620235" w:rsidRPr="0034055F">
        <w:rPr>
          <w:rFonts w:ascii="Arial" w:eastAsia="Arial" w:hAnsi="Arial" w:cs="Arial"/>
          <w:color w:val="0000FF"/>
          <w:sz w:val="20"/>
          <w:szCs w:val="20"/>
        </w:rPr>
        <w:t>over ground, where by on their own admission, there is a 97% environmental compliance rate (a near perfect performance).</w:t>
      </w:r>
    </w:p>
    <w:p w:rsidR="00B55D53" w:rsidRPr="0034055F" w:rsidRDefault="00620235" w:rsidP="00287865">
      <w:pPr>
        <w:jc w:val="both"/>
        <w:rPr>
          <w:rFonts w:ascii="Arial" w:hAnsi="Arial" w:cs="Arial"/>
          <w:color w:val="0000FF"/>
          <w:sz w:val="20"/>
          <w:szCs w:val="20"/>
        </w:rPr>
      </w:pPr>
      <w:r w:rsidRPr="0034055F">
        <w:rPr>
          <w:rFonts w:ascii="Arial" w:hAnsi="Arial" w:cs="Arial"/>
          <w:color w:val="0000FF"/>
          <w:sz w:val="20"/>
          <w:szCs w:val="20"/>
        </w:rPr>
        <w:t xml:space="preserve"> </w:t>
      </w:r>
      <w:r w:rsidR="00B55D53" w:rsidRPr="0034055F">
        <w:rPr>
          <w:rFonts w:ascii="Arial" w:hAnsi="Arial" w:cs="Arial"/>
          <w:color w:val="0000FF"/>
          <w:sz w:val="20"/>
          <w:szCs w:val="20"/>
        </w:rPr>
        <w:t>The proposed environmental provisions contained within the Mining Act Amendments legislation 2015, will have serious unintended adverse economic and compliance consequences for the smaller professional operator while achieving no worthwhile benefit.</w:t>
      </w:r>
    </w:p>
    <w:p w:rsidR="00287865" w:rsidRPr="00287865" w:rsidRDefault="00287865" w:rsidP="00287865">
      <w:pPr>
        <w:jc w:val="both"/>
        <w:rPr>
          <w:rFonts w:ascii="Arial" w:hAnsi="Arial" w:cs="Arial"/>
          <w:b/>
          <w:sz w:val="20"/>
          <w:szCs w:val="20"/>
          <w:u w:val="single"/>
        </w:rPr>
      </w:pPr>
      <w:r w:rsidRPr="00287865">
        <w:rPr>
          <w:rFonts w:ascii="Arial" w:hAnsi="Arial" w:cs="Arial"/>
          <w:b/>
          <w:sz w:val="20"/>
          <w:szCs w:val="20"/>
          <w:u w:val="single"/>
        </w:rPr>
        <w:t>The case</w:t>
      </w:r>
      <w:r>
        <w:rPr>
          <w:rFonts w:ascii="Arial" w:hAnsi="Arial" w:cs="Arial"/>
          <w:b/>
          <w:sz w:val="20"/>
          <w:szCs w:val="20"/>
          <w:u w:val="single"/>
        </w:rPr>
        <w:t xml:space="preserve"> </w:t>
      </w:r>
      <w:r w:rsidR="0034055F">
        <w:rPr>
          <w:rFonts w:ascii="Arial" w:hAnsi="Arial" w:cs="Arial"/>
          <w:b/>
          <w:sz w:val="20"/>
          <w:szCs w:val="20"/>
          <w:u w:val="single"/>
        </w:rPr>
        <w:t>supporting this submission</w:t>
      </w:r>
      <w:r>
        <w:rPr>
          <w:rFonts w:ascii="Arial" w:hAnsi="Arial" w:cs="Arial"/>
          <w:b/>
          <w:sz w:val="20"/>
          <w:szCs w:val="20"/>
          <w:u w:val="single"/>
        </w:rPr>
        <w:t xml:space="preserve"> </w:t>
      </w:r>
      <w:r w:rsidRPr="00287865">
        <w:rPr>
          <w:rFonts w:ascii="Arial" w:hAnsi="Arial" w:cs="Arial"/>
          <w:b/>
          <w:sz w:val="20"/>
          <w:szCs w:val="20"/>
          <w:u w:val="single"/>
        </w:rPr>
        <w:t xml:space="preserve"> </w:t>
      </w:r>
    </w:p>
    <w:p w:rsidR="00B55D53" w:rsidRPr="0034055F" w:rsidRDefault="00287865" w:rsidP="00287865">
      <w:pPr>
        <w:jc w:val="both"/>
        <w:rPr>
          <w:rFonts w:ascii="Arial" w:eastAsia="Times New Roman" w:hAnsi="Arial" w:cs="Arial"/>
          <w:color w:val="0000FF"/>
          <w:sz w:val="19"/>
          <w:szCs w:val="19"/>
          <w:lang w:eastAsia="en-AU"/>
        </w:rPr>
      </w:pPr>
      <w:r w:rsidRPr="0034055F">
        <w:rPr>
          <w:rFonts w:ascii="Arial" w:eastAsia="Arial" w:hAnsi="Arial" w:cs="Arial"/>
          <w:color w:val="0000FF"/>
          <w:sz w:val="20"/>
          <w:szCs w:val="20"/>
        </w:rPr>
        <w:t xml:space="preserve">By the DMP’s own admission (see below) there is a 97% environmental compliance rate (a near perfect performance) for the mining industry. It is difficult </w:t>
      </w:r>
      <w:r w:rsidR="00B55D53" w:rsidRPr="0034055F">
        <w:rPr>
          <w:rFonts w:ascii="Arial" w:eastAsia="Arial" w:hAnsi="Arial" w:cs="Arial"/>
          <w:color w:val="0000FF"/>
          <w:sz w:val="20"/>
          <w:szCs w:val="20"/>
        </w:rPr>
        <w:t xml:space="preserve">therefore </w:t>
      </w:r>
      <w:r w:rsidRPr="0034055F">
        <w:rPr>
          <w:rFonts w:ascii="Arial" w:eastAsia="Arial" w:hAnsi="Arial" w:cs="Arial"/>
          <w:color w:val="0000FF"/>
          <w:sz w:val="20"/>
          <w:szCs w:val="20"/>
        </w:rPr>
        <w:t xml:space="preserve">to imagine that </w:t>
      </w:r>
      <w:r w:rsidRPr="0034055F">
        <w:rPr>
          <w:rFonts w:ascii="Arial" w:eastAsia="Times New Roman" w:hAnsi="Arial" w:cs="Arial"/>
          <w:color w:val="0000FF"/>
          <w:sz w:val="19"/>
          <w:szCs w:val="19"/>
          <w:lang w:eastAsia="en-AU"/>
        </w:rPr>
        <w:t xml:space="preserve">any additional costly, onerous compliance requirements, documentation, reporting and/or performance conditions are going to achieve any additional environmental benefit (at best only an additional 3% is achievable). </w:t>
      </w:r>
    </w:p>
    <w:p w:rsidR="00B55D53" w:rsidRDefault="00287865" w:rsidP="00287865">
      <w:pPr>
        <w:jc w:val="both"/>
        <w:rPr>
          <w:rFonts w:ascii="Arial" w:eastAsia="Times New Roman" w:hAnsi="Arial" w:cs="Arial"/>
          <w:color w:val="000000"/>
          <w:sz w:val="19"/>
          <w:szCs w:val="19"/>
          <w:lang w:eastAsia="en-AU"/>
        </w:rPr>
      </w:pPr>
      <w:r w:rsidRPr="0034055F">
        <w:rPr>
          <w:rFonts w:ascii="Arial" w:eastAsia="Times New Roman" w:hAnsi="Arial" w:cs="Arial"/>
          <w:color w:val="0000FF"/>
          <w:sz w:val="19"/>
          <w:szCs w:val="19"/>
          <w:lang w:eastAsia="en-AU"/>
        </w:rPr>
        <w:t xml:space="preserve">The “law of diminishing returns” states that incremental improvement is possible beyond this level only at exorbitant cost and effort, which far exceed the benefit gained. In the case of professional prospectors and small miners, with minimal ground disturbing activities over very small areas, the benefits to be gained would be insignificant.  In other words it is a completely wasted exercise, involving substantial cost, requiring an inordinate effort, for virtually no material gain. </w:t>
      </w:r>
    </w:p>
    <w:p w:rsidR="00B55D53" w:rsidRPr="00B55D53" w:rsidRDefault="00B55D53" w:rsidP="00287865">
      <w:pPr>
        <w:jc w:val="both"/>
        <w:rPr>
          <w:rFonts w:ascii="Arial" w:eastAsia="Times New Roman" w:hAnsi="Arial" w:cs="Arial"/>
          <w:b/>
          <w:color w:val="000000"/>
          <w:sz w:val="19"/>
          <w:szCs w:val="19"/>
          <w:u w:val="single"/>
          <w:lang w:eastAsia="en-AU"/>
        </w:rPr>
      </w:pPr>
      <w:r w:rsidRPr="00B55D53">
        <w:rPr>
          <w:rFonts w:ascii="Arial" w:eastAsia="Times New Roman" w:hAnsi="Arial" w:cs="Arial"/>
          <w:b/>
          <w:color w:val="000000"/>
          <w:sz w:val="19"/>
          <w:szCs w:val="19"/>
          <w:u w:val="single"/>
          <w:lang w:eastAsia="en-AU"/>
        </w:rPr>
        <w:t>Supporting evidence</w:t>
      </w:r>
    </w:p>
    <w:p w:rsidR="00287865" w:rsidRPr="00EA45DC" w:rsidRDefault="00287865" w:rsidP="00287865">
      <w:pPr>
        <w:jc w:val="both"/>
        <w:rPr>
          <w:rFonts w:ascii="Arial" w:eastAsia="Times New Roman" w:hAnsi="Arial" w:cs="Arial"/>
          <w:b/>
          <w:color w:val="000000"/>
          <w:sz w:val="19"/>
          <w:szCs w:val="19"/>
          <w:lang w:eastAsia="en-AU"/>
        </w:rPr>
      </w:pPr>
      <w:proofErr w:type="gramStart"/>
      <w:r w:rsidRPr="0034055F">
        <w:rPr>
          <w:rFonts w:ascii="Arial" w:eastAsia="Times New Roman" w:hAnsi="Arial" w:cs="Arial"/>
          <w:b/>
          <w:color w:val="0000FF"/>
          <w:sz w:val="19"/>
          <w:szCs w:val="19"/>
          <w:lang w:eastAsia="en-AU"/>
        </w:rPr>
        <w:t>An extract from the DMP Budget Papers 2015 – Page 533.</w:t>
      </w:r>
      <w:proofErr w:type="gramEnd"/>
    </w:p>
    <w:p w:rsidR="00287865" w:rsidRDefault="00287865" w:rsidP="00287865">
      <w:pPr>
        <w:jc w:val="both"/>
        <w:rPr>
          <w:rFonts w:ascii="Arial" w:eastAsia="Times New Roman" w:hAnsi="Arial" w:cs="Arial"/>
          <w:color w:val="000000"/>
          <w:sz w:val="19"/>
          <w:szCs w:val="19"/>
          <w:lang w:eastAsia="en-AU"/>
        </w:rPr>
      </w:pPr>
    </w:p>
    <w:p w:rsidR="00287865" w:rsidRDefault="00287865" w:rsidP="00287865">
      <w:pPr>
        <w:jc w:val="both"/>
        <w:rPr>
          <w:rFonts w:ascii="Arial" w:hAnsi="Arial" w:cs="Arial"/>
          <w:b/>
          <w:sz w:val="20"/>
          <w:szCs w:val="20"/>
          <w:u w:val="single"/>
        </w:rPr>
      </w:pPr>
      <w:r>
        <w:object w:dxaOrig="15932" w:dyaOrig="3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95pt;height:128.85pt" o:ole="">
            <v:imagedata r:id="rId7" o:title=""/>
          </v:shape>
          <o:OLEObject Type="Embed" ProgID="Unknown" ShapeID="_x0000_i1025" DrawAspect="Content" ObjectID="_1519129723" r:id="rId8"/>
        </w:object>
      </w:r>
    </w:p>
    <w:p w:rsidR="00287865" w:rsidRDefault="00B55D53" w:rsidP="00287865">
      <w:pPr>
        <w:rPr>
          <w:b/>
          <w:u w:val="single"/>
        </w:rPr>
      </w:pPr>
      <w:r>
        <w:rPr>
          <w:b/>
          <w:u w:val="single"/>
        </w:rPr>
        <w:t>Conclusion</w:t>
      </w:r>
    </w:p>
    <w:p w:rsidR="00B55D53" w:rsidRPr="0034055F" w:rsidRDefault="00B55D53" w:rsidP="00B55D53">
      <w:pPr>
        <w:jc w:val="both"/>
        <w:rPr>
          <w:rFonts w:ascii="Arial" w:eastAsia="Times New Roman" w:hAnsi="Arial" w:cs="Arial"/>
          <w:color w:val="0000FF"/>
          <w:sz w:val="19"/>
          <w:szCs w:val="19"/>
          <w:lang w:eastAsia="en-AU"/>
        </w:rPr>
      </w:pPr>
      <w:r w:rsidRPr="0034055F">
        <w:rPr>
          <w:rFonts w:ascii="Arial" w:eastAsia="Times New Roman" w:hAnsi="Arial" w:cs="Arial"/>
          <w:color w:val="0000FF"/>
          <w:sz w:val="19"/>
          <w:szCs w:val="19"/>
          <w:lang w:eastAsia="en-AU"/>
        </w:rPr>
        <w:t xml:space="preserve">In this instance such draconian environmental measures as proposed will be entirely futile and any significant effort or expenditure a </w:t>
      </w:r>
      <w:r w:rsidR="00FE6F43" w:rsidRPr="0034055F">
        <w:rPr>
          <w:rFonts w:ascii="Arial" w:eastAsia="Times New Roman" w:hAnsi="Arial" w:cs="Arial"/>
          <w:color w:val="0000FF"/>
          <w:sz w:val="19"/>
          <w:szCs w:val="19"/>
          <w:lang w:eastAsia="en-AU"/>
        </w:rPr>
        <w:t xml:space="preserve">complete </w:t>
      </w:r>
      <w:r w:rsidRPr="0034055F">
        <w:rPr>
          <w:rFonts w:ascii="Arial" w:eastAsia="Times New Roman" w:hAnsi="Arial" w:cs="Arial"/>
          <w:color w:val="0000FF"/>
          <w:sz w:val="19"/>
          <w:szCs w:val="19"/>
          <w:lang w:eastAsia="en-AU"/>
        </w:rPr>
        <w:t xml:space="preserve">waste. If it is not broke (which in this case it demonstrably isn’t), don’t fix it, and certainly don’t mandate futile processes to address it in legislation. This is particularly the case for the small miner where the environmental footprint is small, </w:t>
      </w:r>
      <w:r w:rsidR="00AB144E" w:rsidRPr="0034055F">
        <w:rPr>
          <w:rFonts w:ascii="Arial" w:eastAsia="Times New Roman" w:hAnsi="Arial" w:cs="Arial"/>
          <w:color w:val="0000FF"/>
          <w:sz w:val="19"/>
          <w:szCs w:val="19"/>
          <w:lang w:eastAsia="en-AU"/>
        </w:rPr>
        <w:t>but</w:t>
      </w:r>
      <w:r w:rsidRPr="0034055F">
        <w:rPr>
          <w:rFonts w:ascii="Arial" w:eastAsia="Times New Roman" w:hAnsi="Arial" w:cs="Arial"/>
          <w:color w:val="0000FF"/>
          <w:sz w:val="19"/>
          <w:szCs w:val="19"/>
          <w:lang w:eastAsia="en-AU"/>
        </w:rPr>
        <w:t xml:space="preserve"> may </w:t>
      </w:r>
      <w:r w:rsidR="0040166A" w:rsidRPr="0034055F">
        <w:rPr>
          <w:rFonts w:ascii="Arial" w:eastAsia="Times New Roman" w:hAnsi="Arial" w:cs="Arial"/>
          <w:color w:val="0000FF"/>
          <w:sz w:val="19"/>
          <w:szCs w:val="19"/>
          <w:lang w:eastAsia="en-AU"/>
        </w:rPr>
        <w:t xml:space="preserve">very well </w:t>
      </w:r>
      <w:r w:rsidRPr="0034055F">
        <w:rPr>
          <w:rFonts w:ascii="Arial" w:eastAsia="Times New Roman" w:hAnsi="Arial" w:cs="Arial"/>
          <w:color w:val="0000FF"/>
          <w:sz w:val="19"/>
          <w:szCs w:val="19"/>
          <w:lang w:eastAsia="en-AU"/>
        </w:rPr>
        <w:t>also apply to many larger mining operations which are also registering above 95% environmental compliance.</w:t>
      </w:r>
    </w:p>
    <w:p w:rsidR="00B55D53" w:rsidRDefault="00B55D53" w:rsidP="00B55D53">
      <w:pPr>
        <w:jc w:val="both"/>
        <w:rPr>
          <w:rFonts w:ascii="Arial" w:eastAsia="Times New Roman" w:hAnsi="Arial" w:cs="Arial"/>
          <w:color w:val="000000"/>
          <w:sz w:val="19"/>
          <w:szCs w:val="19"/>
          <w:lang w:eastAsia="en-AU"/>
        </w:rPr>
      </w:pPr>
      <w:r w:rsidRPr="0034055F">
        <w:rPr>
          <w:rFonts w:ascii="Arial" w:eastAsia="Times New Roman" w:hAnsi="Arial" w:cs="Arial"/>
          <w:color w:val="0000FF"/>
          <w:sz w:val="19"/>
          <w:szCs w:val="19"/>
          <w:lang w:eastAsia="en-AU"/>
        </w:rPr>
        <w:t xml:space="preserve">In the Mining Amendments Legislation 2015, the </w:t>
      </w:r>
      <w:r w:rsidR="0040166A" w:rsidRPr="0034055F">
        <w:rPr>
          <w:rFonts w:ascii="Arial" w:eastAsia="Times New Roman" w:hAnsi="Arial" w:cs="Arial"/>
          <w:color w:val="0000FF"/>
          <w:sz w:val="19"/>
          <w:szCs w:val="19"/>
          <w:lang w:eastAsia="en-AU"/>
        </w:rPr>
        <w:t xml:space="preserve">DMP </w:t>
      </w:r>
      <w:r w:rsidRPr="0034055F">
        <w:rPr>
          <w:rFonts w:ascii="Arial" w:eastAsia="Times New Roman" w:hAnsi="Arial" w:cs="Arial"/>
          <w:color w:val="0000FF"/>
          <w:sz w:val="19"/>
          <w:szCs w:val="19"/>
          <w:lang w:eastAsia="en-AU"/>
        </w:rPr>
        <w:t>is apparently trying to solve</w:t>
      </w:r>
      <w:r w:rsidR="0040166A" w:rsidRPr="0034055F">
        <w:rPr>
          <w:rFonts w:ascii="Arial" w:eastAsia="Times New Roman" w:hAnsi="Arial" w:cs="Arial"/>
          <w:color w:val="0000FF"/>
          <w:sz w:val="19"/>
          <w:szCs w:val="19"/>
          <w:lang w:eastAsia="en-AU"/>
        </w:rPr>
        <w:t xml:space="preserve">, by its own admission, </w:t>
      </w:r>
      <w:r w:rsidRPr="0034055F">
        <w:rPr>
          <w:rFonts w:ascii="Arial" w:eastAsia="Times New Roman" w:hAnsi="Arial" w:cs="Arial"/>
          <w:color w:val="0000FF"/>
          <w:sz w:val="19"/>
          <w:szCs w:val="19"/>
          <w:lang w:eastAsia="en-AU"/>
        </w:rPr>
        <w:t xml:space="preserve">a non-existent problem with a substantial slew </w:t>
      </w:r>
      <w:r w:rsidR="0040166A" w:rsidRPr="0034055F">
        <w:rPr>
          <w:rFonts w:ascii="Arial" w:eastAsia="Times New Roman" w:hAnsi="Arial" w:cs="Arial"/>
          <w:color w:val="0000FF"/>
          <w:sz w:val="19"/>
          <w:szCs w:val="19"/>
          <w:lang w:eastAsia="en-AU"/>
        </w:rPr>
        <w:t>of complicated, onerous and largely unnecessary legislation.</w:t>
      </w:r>
    </w:p>
    <w:p w:rsidR="00B55D53" w:rsidRPr="00B55D53" w:rsidRDefault="00B55D53" w:rsidP="00287865"/>
    <w:p w:rsidR="0034055F" w:rsidRDefault="0034055F" w:rsidP="00287865">
      <w:pPr>
        <w:rPr>
          <w:b/>
        </w:rPr>
      </w:pPr>
      <w:proofErr w:type="gramStart"/>
      <w:r>
        <w:rPr>
          <w:b/>
        </w:rPr>
        <w:t xml:space="preserve">Signed   </w:t>
      </w:r>
      <w:r w:rsidRPr="0034055F">
        <w:rPr>
          <w:b/>
          <w:u w:val="single"/>
        </w:rPr>
        <w:t xml:space="preserve">     </w:t>
      </w:r>
      <w:r>
        <w:rPr>
          <w:b/>
          <w:noProof/>
          <w:u w:val="single"/>
          <w:lang w:eastAsia="en-AU"/>
        </w:rPr>
        <w:drawing>
          <wp:inline distT="0" distB="0" distL="0" distR="0">
            <wp:extent cx="2550695" cy="612669"/>
            <wp:effectExtent l="0" t="0" r="2540" b="0"/>
            <wp:docPr id="3" name="Picture 3" descr="F:\Signature\Bob Fagan 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ignature\Bob Fagan signatur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8406" cy="612119"/>
                    </a:xfrm>
                    <a:prstGeom prst="rect">
                      <a:avLst/>
                    </a:prstGeom>
                    <a:noFill/>
                    <a:ln>
                      <a:noFill/>
                    </a:ln>
                  </pic:spPr>
                </pic:pic>
              </a:graphicData>
            </a:graphic>
          </wp:inline>
        </w:drawing>
      </w:r>
      <w:r w:rsidRPr="0034055F">
        <w:rPr>
          <w:b/>
          <w:u w:val="single"/>
        </w:rPr>
        <w:t xml:space="preserve">     </w:t>
      </w:r>
      <w:r>
        <w:rPr>
          <w:b/>
        </w:rPr>
        <w:t xml:space="preserve">  .</w:t>
      </w:r>
      <w:proofErr w:type="gramEnd"/>
      <w:r>
        <w:rPr>
          <w:b/>
        </w:rPr>
        <w:t xml:space="preserve">  </w:t>
      </w:r>
      <w:proofErr w:type="gramStart"/>
      <w:r>
        <w:rPr>
          <w:b/>
        </w:rPr>
        <w:t xml:space="preserve">Date    </w:t>
      </w:r>
      <w:r w:rsidRPr="0034055F">
        <w:rPr>
          <w:b/>
          <w:u w:val="single"/>
        </w:rPr>
        <w:t xml:space="preserve">  </w:t>
      </w:r>
      <w:r w:rsidRPr="0034055F">
        <w:rPr>
          <w:b/>
          <w:color w:val="0000FF"/>
          <w:u w:val="single"/>
        </w:rPr>
        <w:t xml:space="preserve">20/3/2016               </w:t>
      </w:r>
      <w:r w:rsidRPr="0034055F">
        <w:rPr>
          <w:b/>
          <w:color w:val="0000FF"/>
        </w:rPr>
        <w:t xml:space="preserve">   </w:t>
      </w:r>
      <w:r>
        <w:rPr>
          <w:b/>
        </w:rPr>
        <w:t>.</w:t>
      </w:r>
      <w:proofErr w:type="gramEnd"/>
    </w:p>
    <w:p w:rsidR="0034055F" w:rsidRPr="0040166A" w:rsidRDefault="0034055F" w:rsidP="0034055F">
      <w:pPr>
        <w:rPr>
          <w:b/>
        </w:rPr>
      </w:pPr>
      <w:r>
        <w:rPr>
          <w:b/>
        </w:rPr>
        <w:t xml:space="preserve">                                      </w:t>
      </w:r>
      <w:r w:rsidRPr="00B250B4">
        <w:rPr>
          <w:b/>
          <w:color w:val="0000FF"/>
        </w:rPr>
        <w:t>Robert K</w:t>
      </w:r>
      <w:r w:rsidR="008E22D6">
        <w:rPr>
          <w:b/>
          <w:color w:val="0000FF"/>
        </w:rPr>
        <w:t>.</w:t>
      </w:r>
      <w:r w:rsidRPr="00B250B4">
        <w:rPr>
          <w:b/>
          <w:color w:val="0000FF"/>
        </w:rPr>
        <w:t xml:space="preserve"> Fagan</w:t>
      </w:r>
    </w:p>
    <w:p w:rsidR="0034055F" w:rsidRDefault="0034055F" w:rsidP="00287865">
      <w:pPr>
        <w:rPr>
          <w:b/>
        </w:rPr>
      </w:pPr>
    </w:p>
    <w:p w:rsidR="00B061EC" w:rsidRDefault="00B061EC" w:rsidP="00287865">
      <w:r w:rsidRPr="00B061EC">
        <w:rPr>
          <w:b/>
          <w:u w:val="single"/>
        </w:rPr>
        <w:t xml:space="preserve">Lodging your </w:t>
      </w:r>
      <w:proofErr w:type="gramStart"/>
      <w:r w:rsidRPr="00B061EC">
        <w:rPr>
          <w:b/>
          <w:u w:val="single"/>
        </w:rPr>
        <w:t>submission</w:t>
      </w:r>
      <w:r>
        <w:t xml:space="preserve"> .</w:t>
      </w:r>
      <w:proofErr w:type="gramEnd"/>
      <w:r>
        <w:t xml:space="preserve"> Email: submissions can be emailed to the email address below. If you email your submission, you need to affix an electronic signature. </w:t>
      </w:r>
    </w:p>
    <w:p w:rsidR="004778BB" w:rsidRPr="004778BB" w:rsidRDefault="004778BB" w:rsidP="00287865">
      <w:pPr>
        <w:rPr>
          <w:color w:val="0D0D0D" w:themeColor="text1" w:themeTint="F2"/>
          <w:sz w:val="28"/>
          <w:szCs w:val="28"/>
        </w:rPr>
      </w:pPr>
      <w:r w:rsidRPr="004778BB">
        <w:rPr>
          <w:b/>
          <w:color w:val="FF0000"/>
          <w:sz w:val="28"/>
          <w:szCs w:val="28"/>
        </w:rPr>
        <w:t xml:space="preserve">Submissions </w:t>
      </w:r>
      <w:r>
        <w:rPr>
          <w:b/>
          <w:color w:val="FF0000"/>
          <w:sz w:val="28"/>
          <w:szCs w:val="28"/>
        </w:rPr>
        <w:t>must be lodged with the Committee by</w:t>
      </w:r>
      <w:r w:rsidRPr="004778BB">
        <w:rPr>
          <w:b/>
          <w:color w:val="FF0000"/>
          <w:sz w:val="28"/>
          <w:szCs w:val="28"/>
        </w:rPr>
        <w:t xml:space="preserve"> </w:t>
      </w:r>
      <w:r>
        <w:rPr>
          <w:b/>
          <w:color w:val="FF0000"/>
          <w:sz w:val="28"/>
          <w:szCs w:val="28"/>
        </w:rPr>
        <w:t xml:space="preserve">4.00 pm </w:t>
      </w:r>
      <w:r w:rsidRPr="004778BB">
        <w:rPr>
          <w:b/>
          <w:color w:val="FF0000"/>
          <w:sz w:val="28"/>
          <w:szCs w:val="28"/>
        </w:rPr>
        <w:t>on the 24</w:t>
      </w:r>
      <w:r w:rsidRPr="004778BB">
        <w:rPr>
          <w:b/>
          <w:color w:val="FF0000"/>
          <w:sz w:val="28"/>
          <w:szCs w:val="28"/>
          <w:vertAlign w:val="superscript"/>
        </w:rPr>
        <w:t>th</w:t>
      </w:r>
      <w:r w:rsidRPr="004778BB">
        <w:rPr>
          <w:b/>
          <w:color w:val="FF0000"/>
          <w:sz w:val="28"/>
          <w:szCs w:val="28"/>
        </w:rPr>
        <w:t xml:space="preserve"> March</w:t>
      </w:r>
      <w:r>
        <w:rPr>
          <w:b/>
          <w:color w:val="FF0000"/>
          <w:sz w:val="28"/>
          <w:szCs w:val="28"/>
        </w:rPr>
        <w:t xml:space="preserve">. </w:t>
      </w:r>
      <w:r w:rsidRPr="004778BB">
        <w:rPr>
          <w:color w:val="0D0D0D" w:themeColor="text1" w:themeTint="F2"/>
          <w:sz w:val="28"/>
          <w:szCs w:val="28"/>
        </w:rPr>
        <w:t>Request for all or part of the submission to be kept private must be made at the time of submission. When making their submission, interested parties may also express an interest in being heard in person.</w:t>
      </w:r>
    </w:p>
    <w:tbl>
      <w:tblPr>
        <w:tblW w:w="0" w:type="auto"/>
        <w:shd w:val="clear" w:color="auto" w:fill="FFFFFF"/>
        <w:tblCellMar>
          <w:left w:w="0" w:type="dxa"/>
          <w:right w:w="0" w:type="dxa"/>
        </w:tblCellMar>
        <w:tblLook w:val="04A0" w:firstRow="1" w:lastRow="0" w:firstColumn="1" w:lastColumn="0" w:noHBand="0" w:noVBand="1"/>
      </w:tblPr>
      <w:tblGrid>
        <w:gridCol w:w="2451"/>
        <w:gridCol w:w="231"/>
        <w:gridCol w:w="6434"/>
      </w:tblGrid>
      <w:tr w:rsidR="00B061EC" w:rsidTr="00B061EC">
        <w:tc>
          <w:tcPr>
            <w:tcW w:w="2513" w:type="dxa"/>
            <w:tcBorders>
              <w:top w:val="nil"/>
              <w:left w:val="nil"/>
              <w:bottom w:val="nil"/>
              <w:right w:val="nil"/>
            </w:tcBorders>
            <w:shd w:val="clear" w:color="auto" w:fill="FFFFFF"/>
            <w:tcMar>
              <w:top w:w="45" w:type="dxa"/>
              <w:left w:w="45" w:type="dxa"/>
              <w:bottom w:w="45" w:type="dxa"/>
              <w:right w:w="45" w:type="dxa"/>
            </w:tcMar>
            <w:hideMark/>
          </w:tcPr>
          <w:p w:rsidR="00B061EC" w:rsidRDefault="00B061EC">
            <w:pPr>
              <w:pStyle w:val="Heading3"/>
              <w:spacing w:before="150" w:beforeAutospacing="0" w:after="75" w:afterAutospacing="0" w:line="312" w:lineRule="atLeast"/>
              <w:textAlignment w:val="baseline"/>
              <w:rPr>
                <w:rFonts w:ascii="inherit" w:hAnsi="inherit"/>
                <w:color w:val="0060A0"/>
                <w:sz w:val="19"/>
                <w:szCs w:val="19"/>
              </w:rPr>
            </w:pPr>
            <w:bookmarkStart w:id="0" w:name="_GoBack" w:colFirst="3" w:colLast="3"/>
            <w:r>
              <w:rPr>
                <w:rFonts w:ascii="inherit" w:hAnsi="inherit"/>
                <w:color w:val="0060A0"/>
                <w:sz w:val="19"/>
                <w:szCs w:val="19"/>
              </w:rPr>
              <w:t>Contact Details</w:t>
            </w:r>
          </w:p>
        </w:tc>
        <w:tc>
          <w:tcPr>
            <w:tcW w:w="236" w:type="dxa"/>
            <w:tcBorders>
              <w:top w:val="nil"/>
              <w:left w:val="nil"/>
              <w:bottom w:val="nil"/>
              <w:right w:val="nil"/>
            </w:tcBorders>
            <w:shd w:val="clear" w:color="auto" w:fill="FFFFFF"/>
            <w:tcMar>
              <w:top w:w="45" w:type="dxa"/>
              <w:left w:w="45" w:type="dxa"/>
              <w:bottom w:w="45" w:type="dxa"/>
              <w:right w:w="45" w:type="dxa"/>
            </w:tcMar>
            <w:hideMark/>
          </w:tcPr>
          <w:p w:rsidR="00B061EC" w:rsidRDefault="00B061EC">
            <w:pPr>
              <w:spacing w:line="360" w:lineRule="atLeast"/>
              <w:rPr>
                <w:rFonts w:ascii="inherit" w:hAnsi="inherit"/>
                <w:color w:val="000000"/>
                <w:sz w:val="17"/>
                <w:szCs w:val="17"/>
              </w:rPr>
            </w:pPr>
            <w:r>
              <w:rPr>
                <w:rFonts w:ascii="inherit" w:hAnsi="inherit"/>
                <w:noProof/>
                <w:color w:val="000000"/>
                <w:sz w:val="17"/>
                <w:szCs w:val="17"/>
                <w:lang w:eastAsia="en-AU"/>
              </w:rPr>
              <w:drawing>
                <wp:inline distT="0" distB="0" distL="0" distR="0" wp14:anchorId="216570CF" wp14:editId="4BA57D48">
                  <wp:extent cx="9525" cy="9525"/>
                  <wp:effectExtent l="0" t="0" r="0" b="0"/>
                  <wp:docPr id="11" name="Picture 11" descr="http://www.parliament.wa.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wa.gov.au/icons/ec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367" w:type="dxa"/>
            <w:tcBorders>
              <w:top w:val="nil"/>
              <w:left w:val="nil"/>
              <w:bottom w:val="nil"/>
              <w:right w:val="nil"/>
            </w:tcBorders>
            <w:shd w:val="clear" w:color="auto" w:fill="FFFFFF"/>
            <w:tcMar>
              <w:top w:w="45" w:type="dxa"/>
              <w:left w:w="45" w:type="dxa"/>
              <w:bottom w:w="45" w:type="dxa"/>
              <w:right w:w="45" w:type="dxa"/>
            </w:tcMar>
            <w:hideMark/>
          </w:tcPr>
          <w:p w:rsidR="00B061EC" w:rsidRDefault="00B061EC">
            <w:pPr>
              <w:spacing w:line="360" w:lineRule="atLeast"/>
              <w:rPr>
                <w:rFonts w:ascii="inherit" w:hAnsi="inherit"/>
                <w:color w:val="000000"/>
                <w:sz w:val="17"/>
                <w:szCs w:val="17"/>
              </w:rPr>
            </w:pPr>
            <w:r>
              <w:rPr>
                <w:rFonts w:ascii="inherit" w:hAnsi="inherit"/>
                <w:noProof/>
                <w:color w:val="000000"/>
                <w:sz w:val="17"/>
                <w:szCs w:val="17"/>
                <w:lang w:eastAsia="en-AU"/>
              </w:rPr>
              <w:drawing>
                <wp:inline distT="0" distB="0" distL="0" distR="0" wp14:anchorId="26C402F5" wp14:editId="48B235A3">
                  <wp:extent cx="9525" cy="9525"/>
                  <wp:effectExtent l="0" t="0" r="0" b="0"/>
                  <wp:docPr id="10" name="Picture 10" descr="http://www.parliament.wa.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liament.wa.gov.au/icons/ec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061EC" w:rsidTr="00B061EC">
        <w:tc>
          <w:tcPr>
            <w:tcW w:w="2970" w:type="dxa"/>
            <w:tcBorders>
              <w:top w:val="nil"/>
              <w:left w:val="nil"/>
              <w:bottom w:val="nil"/>
              <w:right w:val="nil"/>
            </w:tcBorders>
            <w:shd w:val="clear" w:color="auto" w:fill="EFEFEF"/>
            <w:tcMar>
              <w:top w:w="45" w:type="dxa"/>
              <w:left w:w="45" w:type="dxa"/>
              <w:bottom w:w="45" w:type="dxa"/>
              <w:right w:w="45" w:type="dxa"/>
            </w:tcMar>
            <w:hideMark/>
          </w:tcPr>
          <w:p w:rsidR="00B061EC" w:rsidRDefault="00B061EC">
            <w:pPr>
              <w:spacing w:line="360" w:lineRule="atLeast"/>
              <w:rPr>
                <w:rFonts w:ascii="inherit" w:hAnsi="inherit"/>
                <w:color w:val="000000"/>
                <w:sz w:val="17"/>
                <w:szCs w:val="17"/>
              </w:rPr>
            </w:pPr>
            <w:r>
              <w:rPr>
                <w:rFonts w:ascii="inherit" w:hAnsi="inherit"/>
                <w:b/>
                <w:bCs/>
                <w:color w:val="000000"/>
                <w:sz w:val="17"/>
                <w:szCs w:val="17"/>
                <w:bdr w:val="none" w:sz="0" w:space="0" w:color="auto" w:frame="1"/>
              </w:rPr>
              <w:t>Phone Number:</w:t>
            </w:r>
          </w:p>
        </w:tc>
        <w:tc>
          <w:tcPr>
            <w:tcW w:w="270" w:type="dxa"/>
            <w:tcBorders>
              <w:top w:val="nil"/>
              <w:left w:val="nil"/>
              <w:bottom w:val="nil"/>
              <w:right w:val="nil"/>
            </w:tcBorders>
            <w:shd w:val="clear" w:color="auto" w:fill="EFEFEF"/>
            <w:tcMar>
              <w:top w:w="45" w:type="dxa"/>
              <w:left w:w="45" w:type="dxa"/>
              <w:bottom w:w="45" w:type="dxa"/>
              <w:right w:w="45" w:type="dxa"/>
            </w:tcMar>
            <w:hideMark/>
          </w:tcPr>
          <w:p w:rsidR="00B061EC" w:rsidRDefault="00B061EC">
            <w:pPr>
              <w:spacing w:line="360" w:lineRule="atLeast"/>
              <w:rPr>
                <w:rFonts w:ascii="inherit" w:hAnsi="inherit"/>
                <w:color w:val="000000"/>
                <w:sz w:val="17"/>
                <w:szCs w:val="17"/>
              </w:rPr>
            </w:pPr>
            <w:r>
              <w:rPr>
                <w:rFonts w:ascii="inherit" w:hAnsi="inherit"/>
                <w:noProof/>
                <w:color w:val="000000"/>
                <w:sz w:val="17"/>
                <w:szCs w:val="17"/>
                <w:lang w:eastAsia="en-AU"/>
              </w:rPr>
              <w:drawing>
                <wp:inline distT="0" distB="0" distL="0" distR="0" wp14:anchorId="77C096BD" wp14:editId="3263B969">
                  <wp:extent cx="9525" cy="9525"/>
                  <wp:effectExtent l="0" t="0" r="0" b="0"/>
                  <wp:docPr id="9" name="Picture 9" descr="http://www.parliament.wa.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rliament.wa.gov.au/icons/ec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800" w:type="dxa"/>
            <w:tcBorders>
              <w:top w:val="nil"/>
              <w:left w:val="nil"/>
              <w:bottom w:val="nil"/>
              <w:right w:val="nil"/>
            </w:tcBorders>
            <w:shd w:val="clear" w:color="auto" w:fill="EFEFEF"/>
            <w:tcMar>
              <w:top w:w="45" w:type="dxa"/>
              <w:left w:w="45" w:type="dxa"/>
              <w:bottom w:w="45" w:type="dxa"/>
              <w:right w:w="45" w:type="dxa"/>
            </w:tcMar>
            <w:hideMark/>
          </w:tcPr>
          <w:p w:rsidR="00B061EC" w:rsidRDefault="00B061EC">
            <w:pPr>
              <w:spacing w:line="360" w:lineRule="atLeast"/>
              <w:rPr>
                <w:rFonts w:ascii="inherit" w:hAnsi="inherit"/>
                <w:color w:val="000000"/>
                <w:sz w:val="17"/>
                <w:szCs w:val="17"/>
              </w:rPr>
            </w:pPr>
            <w:r>
              <w:rPr>
                <w:rFonts w:ascii="inherit" w:hAnsi="inherit"/>
                <w:color w:val="000000"/>
                <w:sz w:val="17"/>
                <w:szCs w:val="17"/>
              </w:rPr>
              <w:t>08 9222 7404</w:t>
            </w:r>
          </w:p>
        </w:tc>
      </w:tr>
      <w:tr w:rsidR="00B061EC" w:rsidTr="00B061EC">
        <w:tc>
          <w:tcPr>
            <w:tcW w:w="2970" w:type="dxa"/>
            <w:tcBorders>
              <w:top w:val="nil"/>
              <w:left w:val="nil"/>
              <w:bottom w:val="nil"/>
              <w:right w:val="nil"/>
            </w:tcBorders>
            <w:shd w:val="clear" w:color="auto" w:fill="EFEFEF"/>
            <w:tcMar>
              <w:top w:w="45" w:type="dxa"/>
              <w:left w:w="45" w:type="dxa"/>
              <w:bottom w:w="45" w:type="dxa"/>
              <w:right w:w="45" w:type="dxa"/>
            </w:tcMar>
            <w:hideMark/>
          </w:tcPr>
          <w:p w:rsidR="00B061EC" w:rsidRDefault="00B061EC">
            <w:pPr>
              <w:spacing w:line="360" w:lineRule="atLeast"/>
              <w:rPr>
                <w:rFonts w:ascii="inherit" w:hAnsi="inherit"/>
                <w:color w:val="000000"/>
                <w:sz w:val="17"/>
                <w:szCs w:val="17"/>
              </w:rPr>
            </w:pPr>
            <w:r>
              <w:rPr>
                <w:rFonts w:ascii="inherit" w:hAnsi="inherit"/>
                <w:b/>
                <w:bCs/>
                <w:color w:val="000000"/>
                <w:sz w:val="17"/>
                <w:szCs w:val="17"/>
                <w:bdr w:val="none" w:sz="0" w:space="0" w:color="auto" w:frame="1"/>
              </w:rPr>
              <w:t>Fax Number:</w:t>
            </w:r>
          </w:p>
        </w:tc>
        <w:tc>
          <w:tcPr>
            <w:tcW w:w="270" w:type="dxa"/>
            <w:tcBorders>
              <w:top w:val="nil"/>
              <w:left w:val="nil"/>
              <w:bottom w:val="nil"/>
              <w:right w:val="nil"/>
            </w:tcBorders>
            <w:shd w:val="clear" w:color="auto" w:fill="EFEFEF"/>
            <w:tcMar>
              <w:top w:w="45" w:type="dxa"/>
              <w:left w:w="45" w:type="dxa"/>
              <w:bottom w:w="45" w:type="dxa"/>
              <w:right w:w="45" w:type="dxa"/>
            </w:tcMar>
            <w:hideMark/>
          </w:tcPr>
          <w:p w:rsidR="00B061EC" w:rsidRDefault="00B061EC">
            <w:pPr>
              <w:spacing w:line="360" w:lineRule="atLeast"/>
              <w:rPr>
                <w:rFonts w:ascii="inherit" w:hAnsi="inherit"/>
                <w:color w:val="000000"/>
                <w:sz w:val="17"/>
                <w:szCs w:val="17"/>
              </w:rPr>
            </w:pPr>
            <w:r>
              <w:rPr>
                <w:rFonts w:ascii="inherit" w:hAnsi="inherit"/>
                <w:noProof/>
                <w:color w:val="000000"/>
                <w:sz w:val="17"/>
                <w:szCs w:val="17"/>
                <w:lang w:eastAsia="en-AU"/>
              </w:rPr>
              <w:drawing>
                <wp:inline distT="0" distB="0" distL="0" distR="0" wp14:anchorId="36CCC870" wp14:editId="69323B9D">
                  <wp:extent cx="9525" cy="9525"/>
                  <wp:effectExtent l="0" t="0" r="0" b="0"/>
                  <wp:docPr id="8" name="Picture 8" descr="http://www.parliament.wa.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rliament.wa.gov.au/icons/ec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800" w:type="dxa"/>
            <w:tcBorders>
              <w:top w:val="nil"/>
              <w:left w:val="nil"/>
              <w:bottom w:val="nil"/>
              <w:right w:val="nil"/>
            </w:tcBorders>
            <w:shd w:val="clear" w:color="auto" w:fill="EFEFEF"/>
            <w:tcMar>
              <w:top w:w="45" w:type="dxa"/>
              <w:left w:w="45" w:type="dxa"/>
              <w:bottom w:w="45" w:type="dxa"/>
              <w:right w:w="45" w:type="dxa"/>
            </w:tcMar>
            <w:hideMark/>
          </w:tcPr>
          <w:p w:rsidR="00B061EC" w:rsidRDefault="00B061EC" w:rsidP="00B061EC">
            <w:pPr>
              <w:spacing w:line="360" w:lineRule="atLeast"/>
              <w:rPr>
                <w:rFonts w:ascii="inherit" w:hAnsi="inherit"/>
                <w:color w:val="000000"/>
                <w:sz w:val="17"/>
                <w:szCs w:val="17"/>
              </w:rPr>
            </w:pPr>
            <w:r>
              <w:rPr>
                <w:rFonts w:ascii="inherit" w:hAnsi="inherit"/>
                <w:color w:val="000000"/>
                <w:sz w:val="17"/>
                <w:szCs w:val="17"/>
              </w:rPr>
              <w:t>08 9222 7805</w:t>
            </w:r>
          </w:p>
        </w:tc>
      </w:tr>
      <w:tr w:rsidR="00B061EC" w:rsidTr="00B061EC">
        <w:tc>
          <w:tcPr>
            <w:tcW w:w="2970" w:type="dxa"/>
            <w:tcBorders>
              <w:top w:val="nil"/>
              <w:left w:val="nil"/>
              <w:bottom w:val="nil"/>
              <w:right w:val="nil"/>
            </w:tcBorders>
            <w:shd w:val="clear" w:color="auto" w:fill="EFEFEF"/>
            <w:tcMar>
              <w:top w:w="45" w:type="dxa"/>
              <w:left w:w="45" w:type="dxa"/>
              <w:bottom w:w="45" w:type="dxa"/>
              <w:right w:w="45" w:type="dxa"/>
            </w:tcMar>
            <w:hideMark/>
          </w:tcPr>
          <w:p w:rsidR="00B061EC" w:rsidRPr="00B061EC" w:rsidRDefault="00B061EC">
            <w:pPr>
              <w:spacing w:line="360" w:lineRule="atLeast"/>
              <w:rPr>
                <w:rFonts w:ascii="inherit" w:hAnsi="inherit"/>
                <w:b/>
                <w:color w:val="000000"/>
                <w:sz w:val="17"/>
                <w:szCs w:val="17"/>
              </w:rPr>
            </w:pPr>
            <w:r w:rsidRPr="00B061EC">
              <w:rPr>
                <w:rFonts w:ascii="inherit" w:hAnsi="inherit"/>
                <w:b/>
                <w:noProof/>
                <w:color w:val="000000"/>
                <w:sz w:val="17"/>
                <w:szCs w:val="17"/>
                <w:lang w:eastAsia="en-AU"/>
              </w:rPr>
              <w:drawing>
                <wp:inline distT="0" distB="0" distL="0" distR="0" wp14:anchorId="4725E873" wp14:editId="14536BA2">
                  <wp:extent cx="9525" cy="9525"/>
                  <wp:effectExtent l="0" t="0" r="0" b="0"/>
                  <wp:docPr id="7" name="Picture 7" descr="http://www.parliament.wa.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rliament.wa.gov.au/icons/ec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061EC">
              <w:rPr>
                <w:rFonts w:ascii="inherit" w:hAnsi="inherit"/>
                <w:b/>
                <w:color w:val="000000"/>
                <w:sz w:val="17"/>
                <w:szCs w:val="17"/>
              </w:rPr>
              <w:t>Email Address:</w:t>
            </w:r>
          </w:p>
        </w:tc>
        <w:tc>
          <w:tcPr>
            <w:tcW w:w="270" w:type="dxa"/>
            <w:tcBorders>
              <w:top w:val="nil"/>
              <w:left w:val="nil"/>
              <w:bottom w:val="nil"/>
              <w:right w:val="nil"/>
            </w:tcBorders>
            <w:shd w:val="clear" w:color="auto" w:fill="EFEFEF"/>
            <w:tcMar>
              <w:top w:w="45" w:type="dxa"/>
              <w:left w:w="45" w:type="dxa"/>
              <w:bottom w:w="45" w:type="dxa"/>
              <w:right w:w="45" w:type="dxa"/>
            </w:tcMar>
            <w:hideMark/>
          </w:tcPr>
          <w:p w:rsidR="00B061EC" w:rsidRDefault="00B061EC">
            <w:pPr>
              <w:spacing w:line="360" w:lineRule="atLeast"/>
              <w:rPr>
                <w:rFonts w:ascii="inherit" w:hAnsi="inherit"/>
                <w:color w:val="000000"/>
                <w:sz w:val="17"/>
                <w:szCs w:val="17"/>
              </w:rPr>
            </w:pPr>
            <w:r>
              <w:rPr>
                <w:rFonts w:ascii="inherit" w:hAnsi="inherit"/>
                <w:noProof/>
                <w:color w:val="000000"/>
                <w:sz w:val="17"/>
                <w:szCs w:val="17"/>
                <w:lang w:eastAsia="en-AU"/>
              </w:rPr>
              <w:drawing>
                <wp:inline distT="0" distB="0" distL="0" distR="0" wp14:anchorId="5F54CFE2" wp14:editId="53B80D7B">
                  <wp:extent cx="9525" cy="9525"/>
                  <wp:effectExtent l="0" t="0" r="0" b="0"/>
                  <wp:docPr id="6" name="Picture 6" descr="http://www.parliament.wa.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rliament.wa.gov.au/icons/ec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800" w:type="dxa"/>
            <w:tcBorders>
              <w:top w:val="nil"/>
              <w:left w:val="nil"/>
              <w:bottom w:val="nil"/>
              <w:right w:val="nil"/>
            </w:tcBorders>
            <w:shd w:val="clear" w:color="auto" w:fill="EFEFEF"/>
            <w:tcMar>
              <w:top w:w="45" w:type="dxa"/>
              <w:left w:w="45" w:type="dxa"/>
              <w:bottom w:w="45" w:type="dxa"/>
              <w:right w:w="45" w:type="dxa"/>
            </w:tcMar>
            <w:hideMark/>
          </w:tcPr>
          <w:p w:rsidR="00B061EC" w:rsidRDefault="00B061EC" w:rsidP="00B061EC">
            <w:pPr>
              <w:spacing w:line="360" w:lineRule="atLeast"/>
              <w:rPr>
                <w:rFonts w:ascii="inherit" w:hAnsi="inherit"/>
                <w:color w:val="000000"/>
                <w:sz w:val="17"/>
                <w:szCs w:val="17"/>
              </w:rPr>
            </w:pPr>
            <w:r>
              <w:rPr>
                <w:rFonts w:ascii="inherit" w:hAnsi="inherit"/>
                <w:color w:val="000000"/>
                <w:sz w:val="17"/>
                <w:szCs w:val="17"/>
              </w:rPr>
              <w:t xml:space="preserve">  </w:t>
            </w:r>
            <w:hyperlink r:id="rId11" w:history="1">
              <w:r w:rsidRPr="007E01D0">
                <w:rPr>
                  <w:rStyle w:val="Hyperlink"/>
                  <w:rFonts w:ascii="inherit" w:hAnsi="inherit"/>
                  <w:sz w:val="17"/>
                  <w:szCs w:val="17"/>
                </w:rPr>
                <w:t>lclc@parliament.wa.gov.au</w:t>
              </w:r>
            </w:hyperlink>
            <w:r>
              <w:rPr>
                <w:rFonts w:ascii="inherit" w:hAnsi="inherit"/>
                <w:color w:val="000000"/>
                <w:sz w:val="17"/>
                <w:szCs w:val="17"/>
              </w:rPr>
              <w:t xml:space="preserve">  </w:t>
            </w:r>
          </w:p>
        </w:tc>
      </w:tr>
      <w:tr w:rsidR="00B061EC" w:rsidTr="00B061EC">
        <w:tc>
          <w:tcPr>
            <w:tcW w:w="11025" w:type="dxa"/>
            <w:gridSpan w:val="3"/>
            <w:tcBorders>
              <w:top w:val="nil"/>
              <w:left w:val="nil"/>
              <w:bottom w:val="nil"/>
              <w:right w:val="nil"/>
            </w:tcBorders>
            <w:shd w:val="clear" w:color="auto" w:fill="E0E0FF"/>
            <w:tcMar>
              <w:top w:w="45" w:type="dxa"/>
              <w:left w:w="45" w:type="dxa"/>
              <w:bottom w:w="45" w:type="dxa"/>
              <w:right w:w="45" w:type="dxa"/>
            </w:tcMar>
            <w:hideMark/>
          </w:tcPr>
          <w:p w:rsidR="00B061EC" w:rsidRDefault="00B061EC">
            <w:pPr>
              <w:spacing w:line="360" w:lineRule="atLeast"/>
              <w:jc w:val="center"/>
              <w:textAlignment w:val="baseline"/>
              <w:rPr>
                <w:rFonts w:ascii="inherit" w:hAnsi="inherit"/>
                <w:color w:val="000000"/>
                <w:sz w:val="17"/>
                <w:szCs w:val="17"/>
              </w:rPr>
            </w:pPr>
            <w:r>
              <w:rPr>
                <w:rFonts w:ascii="Verdana" w:hAnsi="Verdana"/>
                <w:b/>
                <w:bCs/>
                <w:color w:val="000000"/>
                <w:sz w:val="20"/>
                <w:szCs w:val="20"/>
                <w:bdr w:val="none" w:sz="0" w:space="0" w:color="auto" w:frame="1"/>
              </w:rPr>
              <w:t>Postal Address</w:t>
            </w:r>
            <w:r>
              <w:rPr>
                <w:rFonts w:ascii="Verdana" w:hAnsi="Verdana"/>
                <w:b/>
                <w:bCs/>
                <w:color w:val="000000"/>
                <w:sz w:val="20"/>
                <w:szCs w:val="20"/>
                <w:bdr w:val="none" w:sz="0" w:space="0" w:color="auto" w:frame="1"/>
              </w:rPr>
              <w:br/>
            </w:r>
            <w:r>
              <w:rPr>
                <w:rFonts w:ascii="Verdana" w:hAnsi="Verdana"/>
                <w:b/>
                <w:bCs/>
                <w:color w:val="000000"/>
                <w:sz w:val="20"/>
                <w:szCs w:val="20"/>
                <w:bdr w:val="none" w:sz="0" w:space="0" w:color="auto" w:frame="1"/>
              </w:rPr>
              <w:br/>
              <w:t>Mr David Driscoll</w:t>
            </w:r>
            <w:r>
              <w:rPr>
                <w:rFonts w:ascii="Verdana" w:hAnsi="Verdana"/>
                <w:b/>
                <w:bCs/>
                <w:color w:val="000000"/>
                <w:sz w:val="20"/>
                <w:szCs w:val="20"/>
                <w:bdr w:val="none" w:sz="0" w:space="0" w:color="auto" w:frame="1"/>
              </w:rPr>
              <w:br/>
            </w:r>
            <w:r>
              <w:rPr>
                <w:rFonts w:ascii="Verdana" w:hAnsi="Verdana"/>
                <w:b/>
                <w:bCs/>
                <w:color w:val="000000"/>
                <w:sz w:val="20"/>
                <w:szCs w:val="20"/>
                <w:bdr w:val="none" w:sz="0" w:space="0" w:color="auto" w:frame="1"/>
              </w:rPr>
              <w:lastRenderedPageBreak/>
              <w:t>Parliamentary Officer (Committees)</w:t>
            </w:r>
            <w:r>
              <w:rPr>
                <w:rFonts w:ascii="Verdana" w:hAnsi="Verdana"/>
                <w:b/>
                <w:bCs/>
                <w:color w:val="000000"/>
                <w:sz w:val="20"/>
                <w:szCs w:val="20"/>
                <w:bdr w:val="none" w:sz="0" w:space="0" w:color="auto" w:frame="1"/>
              </w:rPr>
              <w:br/>
              <w:t>Standing Committee on Legislation</w:t>
            </w:r>
            <w:r>
              <w:rPr>
                <w:rFonts w:ascii="Verdana" w:hAnsi="Verdana"/>
                <w:b/>
                <w:bCs/>
                <w:color w:val="000000"/>
                <w:sz w:val="20"/>
                <w:szCs w:val="20"/>
                <w:bdr w:val="none" w:sz="0" w:space="0" w:color="auto" w:frame="1"/>
              </w:rPr>
              <w:br/>
              <w:t>GPO: Box A11</w:t>
            </w:r>
            <w:r>
              <w:rPr>
                <w:rFonts w:ascii="Verdana" w:hAnsi="Verdana"/>
                <w:b/>
                <w:bCs/>
                <w:color w:val="000000"/>
                <w:sz w:val="20"/>
                <w:szCs w:val="20"/>
                <w:bdr w:val="none" w:sz="0" w:space="0" w:color="auto" w:frame="1"/>
              </w:rPr>
              <w:br/>
              <w:t>Perth WA 6837</w:t>
            </w:r>
          </w:p>
        </w:tc>
      </w:tr>
      <w:bookmarkEnd w:id="0"/>
    </w:tbl>
    <w:p w:rsidR="00B061EC" w:rsidRDefault="00B061EC" w:rsidP="00287865">
      <w:pPr>
        <w:rPr>
          <w:b/>
        </w:rPr>
      </w:pPr>
    </w:p>
    <w:sectPr w:rsidR="00B061EC" w:rsidSect="0028786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65"/>
    <w:rsid w:val="000B738B"/>
    <w:rsid w:val="00107513"/>
    <w:rsid w:val="001B2FFE"/>
    <w:rsid w:val="00287865"/>
    <w:rsid w:val="0034055F"/>
    <w:rsid w:val="0040166A"/>
    <w:rsid w:val="004778BB"/>
    <w:rsid w:val="00620235"/>
    <w:rsid w:val="00700E25"/>
    <w:rsid w:val="008E22D6"/>
    <w:rsid w:val="00AB144E"/>
    <w:rsid w:val="00B061EC"/>
    <w:rsid w:val="00B250B4"/>
    <w:rsid w:val="00B55D53"/>
    <w:rsid w:val="00ED0A2B"/>
    <w:rsid w:val="00F35879"/>
    <w:rsid w:val="00FC23D2"/>
    <w:rsid w:val="00FE6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65"/>
  </w:style>
  <w:style w:type="paragraph" w:styleId="Heading3">
    <w:name w:val="heading 3"/>
    <w:basedOn w:val="Normal"/>
    <w:link w:val="Heading3Char"/>
    <w:uiPriority w:val="9"/>
    <w:qFormat/>
    <w:rsid w:val="00B061E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5F"/>
    <w:rPr>
      <w:rFonts w:ascii="Tahoma" w:hAnsi="Tahoma" w:cs="Tahoma"/>
      <w:sz w:val="16"/>
      <w:szCs w:val="16"/>
    </w:rPr>
  </w:style>
  <w:style w:type="character" w:styleId="Hyperlink">
    <w:name w:val="Hyperlink"/>
    <w:basedOn w:val="DefaultParagraphFont"/>
    <w:uiPriority w:val="99"/>
    <w:unhideWhenUsed/>
    <w:rsid w:val="00ED0A2B"/>
    <w:rPr>
      <w:color w:val="0000FF" w:themeColor="hyperlink"/>
      <w:u w:val="single"/>
    </w:rPr>
  </w:style>
  <w:style w:type="character" w:customStyle="1" w:styleId="Heading3Char">
    <w:name w:val="Heading 3 Char"/>
    <w:basedOn w:val="DefaultParagraphFont"/>
    <w:link w:val="Heading3"/>
    <w:uiPriority w:val="9"/>
    <w:rsid w:val="00B061EC"/>
    <w:rPr>
      <w:rFonts w:ascii="Times New Roman" w:eastAsia="Times New Roman" w:hAnsi="Times New Roman" w:cs="Times New Roman"/>
      <w:b/>
      <w:bCs/>
      <w:sz w:val="27"/>
      <w:szCs w:val="27"/>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65"/>
  </w:style>
  <w:style w:type="paragraph" w:styleId="Heading3">
    <w:name w:val="heading 3"/>
    <w:basedOn w:val="Normal"/>
    <w:link w:val="Heading3Char"/>
    <w:uiPriority w:val="9"/>
    <w:qFormat/>
    <w:rsid w:val="00B061E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5F"/>
    <w:rPr>
      <w:rFonts w:ascii="Tahoma" w:hAnsi="Tahoma" w:cs="Tahoma"/>
      <w:sz w:val="16"/>
      <w:szCs w:val="16"/>
    </w:rPr>
  </w:style>
  <w:style w:type="character" w:styleId="Hyperlink">
    <w:name w:val="Hyperlink"/>
    <w:basedOn w:val="DefaultParagraphFont"/>
    <w:uiPriority w:val="99"/>
    <w:unhideWhenUsed/>
    <w:rsid w:val="00ED0A2B"/>
    <w:rPr>
      <w:color w:val="0000FF" w:themeColor="hyperlink"/>
      <w:u w:val="single"/>
    </w:rPr>
  </w:style>
  <w:style w:type="character" w:customStyle="1" w:styleId="Heading3Char">
    <w:name w:val="Heading 3 Char"/>
    <w:basedOn w:val="DefaultParagraphFont"/>
    <w:link w:val="Heading3"/>
    <w:uiPriority w:val="9"/>
    <w:rsid w:val="00B061EC"/>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2375">
      <w:bodyDiv w:val="1"/>
      <w:marLeft w:val="0"/>
      <w:marRight w:val="0"/>
      <w:marTop w:val="0"/>
      <w:marBottom w:val="0"/>
      <w:divBdr>
        <w:top w:val="none" w:sz="0" w:space="0" w:color="auto"/>
        <w:left w:val="none" w:sz="0" w:space="0" w:color="auto"/>
        <w:bottom w:val="none" w:sz="0" w:space="0" w:color="auto"/>
        <w:right w:val="none" w:sz="0" w:space="0" w:color="auto"/>
      </w:divBdr>
    </w:div>
    <w:div w:id="2005862584">
      <w:bodyDiv w:val="1"/>
      <w:marLeft w:val="0"/>
      <w:marRight w:val="0"/>
      <w:marTop w:val="0"/>
      <w:marBottom w:val="0"/>
      <w:divBdr>
        <w:top w:val="none" w:sz="0" w:space="0" w:color="auto"/>
        <w:left w:val="none" w:sz="0" w:space="0" w:color="auto"/>
        <w:bottom w:val="none" w:sz="0" w:space="0" w:color="auto"/>
        <w:right w:val="none" w:sz="0" w:space="0" w:color="auto"/>
      </w:divBdr>
    </w:div>
    <w:div w:id="201471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obertfagan345@gmail.com" TargetMode="External"/><Relationship Id="rId11" Type="http://schemas.openxmlformats.org/officeDocument/2006/relationships/hyperlink" Target="mailto:lclc@parliament.wa.gov.au"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61162-EBE1-4CEC-810C-09A827F8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BOB</cp:lastModifiedBy>
  <cp:revision>8</cp:revision>
  <cp:lastPrinted>2016-03-07T01:24:00Z</cp:lastPrinted>
  <dcterms:created xsi:type="dcterms:W3CDTF">2016-03-10T06:35:00Z</dcterms:created>
  <dcterms:modified xsi:type="dcterms:W3CDTF">2016-03-10T07:42:00Z</dcterms:modified>
</cp:coreProperties>
</file>